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75BC44" w14:textId="77777777" w:rsidR="00172693" w:rsidRDefault="00172693" w:rsidP="00172693">
      <w:pPr>
        <w:spacing w:line="480" w:lineRule="auto"/>
        <w:ind w:firstLine="720"/>
        <w:jc w:val="center"/>
        <w:rPr>
          <w:rFonts w:ascii="Times New Roman" w:hAnsi="Times New Roman" w:cs="Times New Roman"/>
          <w:sz w:val="24"/>
          <w:szCs w:val="24"/>
        </w:rPr>
      </w:pPr>
    </w:p>
    <w:p w14:paraId="72771C56" w14:textId="77777777" w:rsidR="00172693" w:rsidRDefault="00172693" w:rsidP="00172693">
      <w:pPr>
        <w:spacing w:line="480" w:lineRule="auto"/>
        <w:ind w:firstLine="720"/>
        <w:jc w:val="center"/>
        <w:rPr>
          <w:rFonts w:ascii="Times New Roman" w:hAnsi="Times New Roman" w:cs="Times New Roman"/>
          <w:sz w:val="24"/>
          <w:szCs w:val="24"/>
        </w:rPr>
      </w:pPr>
    </w:p>
    <w:p w14:paraId="7B351F17" w14:textId="77777777" w:rsidR="00172693" w:rsidRDefault="00172693" w:rsidP="00172693">
      <w:pPr>
        <w:spacing w:line="480" w:lineRule="auto"/>
        <w:ind w:firstLine="720"/>
        <w:jc w:val="center"/>
        <w:rPr>
          <w:rFonts w:ascii="Times New Roman" w:hAnsi="Times New Roman" w:cs="Times New Roman"/>
          <w:sz w:val="24"/>
          <w:szCs w:val="24"/>
        </w:rPr>
      </w:pPr>
    </w:p>
    <w:p w14:paraId="782A40AE" w14:textId="5E86FA17" w:rsidR="00172693" w:rsidRDefault="00172693" w:rsidP="0017269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EDI Reference Guide</w:t>
      </w:r>
    </w:p>
    <w:p w14:paraId="564D18E2" w14:textId="77777777" w:rsidR="00172693" w:rsidRPr="00172693" w:rsidRDefault="00172693" w:rsidP="00172693">
      <w:pPr>
        <w:spacing w:line="480" w:lineRule="auto"/>
        <w:ind w:firstLine="720"/>
        <w:jc w:val="center"/>
        <w:rPr>
          <w:rFonts w:ascii="Times New Roman" w:hAnsi="Times New Roman" w:cs="Times New Roman"/>
          <w:sz w:val="24"/>
          <w:szCs w:val="24"/>
        </w:rPr>
      </w:pPr>
      <w:r w:rsidRPr="00172693">
        <w:rPr>
          <w:rFonts w:ascii="Times New Roman" w:hAnsi="Times New Roman" w:cs="Times New Roman"/>
          <w:sz w:val="24"/>
          <w:szCs w:val="24"/>
        </w:rPr>
        <w:t>Student’s name</w:t>
      </w:r>
    </w:p>
    <w:p w14:paraId="66C08046" w14:textId="77777777" w:rsidR="00172693" w:rsidRPr="00172693" w:rsidRDefault="00172693" w:rsidP="00172693">
      <w:pPr>
        <w:spacing w:line="480" w:lineRule="auto"/>
        <w:ind w:firstLine="720"/>
        <w:jc w:val="center"/>
        <w:rPr>
          <w:rFonts w:ascii="Times New Roman" w:hAnsi="Times New Roman" w:cs="Times New Roman"/>
          <w:sz w:val="24"/>
          <w:szCs w:val="24"/>
        </w:rPr>
      </w:pPr>
      <w:r w:rsidRPr="00172693">
        <w:rPr>
          <w:rFonts w:ascii="Times New Roman" w:hAnsi="Times New Roman" w:cs="Times New Roman"/>
          <w:sz w:val="24"/>
          <w:szCs w:val="24"/>
        </w:rPr>
        <w:t>Institutional affiliation</w:t>
      </w:r>
    </w:p>
    <w:p w14:paraId="0205E609" w14:textId="77777777" w:rsidR="00172693" w:rsidRPr="00172693" w:rsidRDefault="00172693" w:rsidP="00172693">
      <w:pPr>
        <w:spacing w:line="480" w:lineRule="auto"/>
        <w:ind w:firstLine="720"/>
        <w:jc w:val="center"/>
        <w:rPr>
          <w:rFonts w:ascii="Times New Roman" w:hAnsi="Times New Roman" w:cs="Times New Roman"/>
          <w:sz w:val="24"/>
          <w:szCs w:val="24"/>
        </w:rPr>
      </w:pPr>
      <w:r w:rsidRPr="00172693">
        <w:rPr>
          <w:rFonts w:ascii="Times New Roman" w:hAnsi="Times New Roman" w:cs="Times New Roman"/>
          <w:sz w:val="24"/>
          <w:szCs w:val="24"/>
        </w:rPr>
        <w:t>Course-name</w:t>
      </w:r>
    </w:p>
    <w:p w14:paraId="37568A43" w14:textId="77777777" w:rsidR="00172693" w:rsidRPr="00172693" w:rsidRDefault="00172693" w:rsidP="00172693">
      <w:pPr>
        <w:spacing w:line="480" w:lineRule="auto"/>
        <w:ind w:firstLine="720"/>
        <w:jc w:val="center"/>
        <w:rPr>
          <w:rFonts w:ascii="Times New Roman" w:hAnsi="Times New Roman" w:cs="Times New Roman"/>
          <w:sz w:val="24"/>
          <w:szCs w:val="24"/>
        </w:rPr>
      </w:pPr>
      <w:r w:rsidRPr="00172693">
        <w:rPr>
          <w:rFonts w:ascii="Times New Roman" w:hAnsi="Times New Roman" w:cs="Times New Roman"/>
          <w:sz w:val="24"/>
          <w:szCs w:val="24"/>
        </w:rPr>
        <w:t>Course number</w:t>
      </w:r>
    </w:p>
    <w:p w14:paraId="0E02FF84" w14:textId="77777777" w:rsidR="00172693" w:rsidRPr="00172693" w:rsidRDefault="00172693" w:rsidP="00172693">
      <w:pPr>
        <w:spacing w:line="480" w:lineRule="auto"/>
        <w:ind w:firstLine="720"/>
        <w:jc w:val="center"/>
        <w:rPr>
          <w:rFonts w:ascii="Times New Roman" w:hAnsi="Times New Roman" w:cs="Times New Roman"/>
          <w:sz w:val="24"/>
          <w:szCs w:val="24"/>
        </w:rPr>
      </w:pPr>
      <w:r w:rsidRPr="00172693">
        <w:rPr>
          <w:rFonts w:ascii="Times New Roman" w:hAnsi="Times New Roman" w:cs="Times New Roman"/>
          <w:sz w:val="24"/>
          <w:szCs w:val="24"/>
        </w:rPr>
        <w:t>Date of submission</w:t>
      </w:r>
    </w:p>
    <w:p w14:paraId="39E1E21E" w14:textId="77777777" w:rsidR="00172693" w:rsidRDefault="00172693" w:rsidP="00172693">
      <w:pPr>
        <w:spacing w:line="480" w:lineRule="auto"/>
        <w:ind w:firstLine="720"/>
        <w:jc w:val="center"/>
        <w:rPr>
          <w:rFonts w:ascii="Times New Roman" w:hAnsi="Times New Roman" w:cs="Times New Roman"/>
          <w:sz w:val="24"/>
          <w:szCs w:val="24"/>
        </w:rPr>
      </w:pPr>
    </w:p>
    <w:p w14:paraId="0F563DA4" w14:textId="77777777" w:rsidR="00172693" w:rsidRDefault="00172693" w:rsidP="00172693">
      <w:pPr>
        <w:spacing w:line="480" w:lineRule="auto"/>
        <w:ind w:firstLine="720"/>
        <w:rPr>
          <w:rFonts w:ascii="Times New Roman" w:hAnsi="Times New Roman" w:cs="Times New Roman"/>
          <w:sz w:val="24"/>
          <w:szCs w:val="24"/>
        </w:rPr>
      </w:pPr>
    </w:p>
    <w:p w14:paraId="390DB8D2" w14:textId="77777777" w:rsidR="00172693" w:rsidRDefault="00172693" w:rsidP="00172693">
      <w:pPr>
        <w:spacing w:line="480" w:lineRule="auto"/>
        <w:ind w:firstLine="720"/>
        <w:rPr>
          <w:rFonts w:ascii="Times New Roman" w:hAnsi="Times New Roman" w:cs="Times New Roman"/>
          <w:sz w:val="24"/>
          <w:szCs w:val="24"/>
        </w:rPr>
      </w:pPr>
    </w:p>
    <w:p w14:paraId="3F62EEC9" w14:textId="77777777" w:rsidR="00172693" w:rsidRDefault="00172693" w:rsidP="00172693">
      <w:pPr>
        <w:spacing w:line="480" w:lineRule="auto"/>
        <w:ind w:firstLine="720"/>
        <w:rPr>
          <w:rFonts w:ascii="Times New Roman" w:hAnsi="Times New Roman" w:cs="Times New Roman"/>
          <w:sz w:val="24"/>
          <w:szCs w:val="24"/>
        </w:rPr>
      </w:pPr>
    </w:p>
    <w:p w14:paraId="3BD735C4" w14:textId="77777777" w:rsidR="00172693" w:rsidRDefault="00172693" w:rsidP="00172693">
      <w:pPr>
        <w:spacing w:line="480" w:lineRule="auto"/>
        <w:ind w:firstLine="720"/>
        <w:rPr>
          <w:rFonts w:ascii="Times New Roman" w:hAnsi="Times New Roman" w:cs="Times New Roman"/>
          <w:sz w:val="24"/>
          <w:szCs w:val="24"/>
        </w:rPr>
      </w:pPr>
    </w:p>
    <w:p w14:paraId="25F2154F" w14:textId="77777777" w:rsidR="00172693" w:rsidRDefault="00172693" w:rsidP="00172693">
      <w:pPr>
        <w:spacing w:line="480" w:lineRule="auto"/>
        <w:ind w:firstLine="720"/>
        <w:rPr>
          <w:rFonts w:ascii="Times New Roman" w:hAnsi="Times New Roman" w:cs="Times New Roman"/>
          <w:sz w:val="24"/>
          <w:szCs w:val="24"/>
        </w:rPr>
      </w:pPr>
    </w:p>
    <w:p w14:paraId="4AD30391" w14:textId="77777777" w:rsidR="00172693" w:rsidRDefault="00172693" w:rsidP="00172693">
      <w:pPr>
        <w:spacing w:line="480" w:lineRule="auto"/>
        <w:ind w:firstLine="720"/>
        <w:rPr>
          <w:rFonts w:ascii="Times New Roman" w:hAnsi="Times New Roman" w:cs="Times New Roman"/>
          <w:sz w:val="24"/>
          <w:szCs w:val="24"/>
        </w:rPr>
      </w:pPr>
    </w:p>
    <w:p w14:paraId="4224129A" w14:textId="3FF6B449" w:rsidR="00172693" w:rsidRDefault="00172693" w:rsidP="00172693">
      <w:pPr>
        <w:spacing w:line="480" w:lineRule="auto"/>
        <w:rPr>
          <w:rFonts w:ascii="Times New Roman" w:hAnsi="Times New Roman" w:cs="Times New Roman"/>
          <w:sz w:val="24"/>
          <w:szCs w:val="24"/>
        </w:rPr>
      </w:pPr>
    </w:p>
    <w:p w14:paraId="766F22F7" w14:textId="77777777" w:rsidR="00172693" w:rsidRDefault="00172693" w:rsidP="00172693">
      <w:pPr>
        <w:spacing w:line="480" w:lineRule="auto"/>
        <w:rPr>
          <w:rFonts w:ascii="Times New Roman" w:hAnsi="Times New Roman" w:cs="Times New Roman"/>
          <w:sz w:val="24"/>
          <w:szCs w:val="24"/>
        </w:rPr>
      </w:pPr>
    </w:p>
    <w:p w14:paraId="7DE60BD1" w14:textId="52744010" w:rsidR="00F3296E" w:rsidRPr="00F3296E" w:rsidRDefault="00F3296E" w:rsidP="00F3296E">
      <w:pPr>
        <w:spacing w:line="480" w:lineRule="auto"/>
        <w:jc w:val="center"/>
        <w:rPr>
          <w:rFonts w:ascii="Times New Roman" w:hAnsi="Times New Roman" w:cs="Times New Roman"/>
          <w:b/>
          <w:sz w:val="24"/>
          <w:szCs w:val="24"/>
        </w:rPr>
      </w:pPr>
      <w:r w:rsidRPr="00F3296E">
        <w:rPr>
          <w:rFonts w:ascii="Times New Roman" w:hAnsi="Times New Roman" w:cs="Times New Roman"/>
          <w:b/>
          <w:sz w:val="24"/>
          <w:szCs w:val="24"/>
        </w:rPr>
        <w:lastRenderedPageBreak/>
        <w:t>Electronic Data Interchange (EDI)</w:t>
      </w:r>
    </w:p>
    <w:p w14:paraId="39D7E11D" w14:textId="6E3838C0" w:rsidR="006D2651" w:rsidRPr="00172693" w:rsidRDefault="008D103D" w:rsidP="00172693">
      <w:pPr>
        <w:spacing w:line="480" w:lineRule="auto"/>
        <w:ind w:firstLine="720"/>
        <w:rPr>
          <w:rFonts w:ascii="Times New Roman" w:hAnsi="Times New Roman" w:cs="Times New Roman"/>
          <w:sz w:val="24"/>
          <w:szCs w:val="24"/>
        </w:rPr>
      </w:pPr>
      <w:r w:rsidRPr="00172693">
        <w:rPr>
          <w:rFonts w:ascii="Times New Roman" w:hAnsi="Times New Roman" w:cs="Times New Roman"/>
          <w:sz w:val="24"/>
          <w:szCs w:val="24"/>
        </w:rPr>
        <w:t>Electronic Data Interchange</w:t>
      </w:r>
      <w:r w:rsidR="00BD2781">
        <w:rPr>
          <w:rFonts w:ascii="Times New Roman" w:hAnsi="Times New Roman" w:cs="Times New Roman"/>
          <w:sz w:val="24"/>
          <w:szCs w:val="24"/>
        </w:rPr>
        <w:t xml:space="preserve"> (EDI)</w:t>
      </w:r>
      <w:r w:rsidRPr="00172693">
        <w:rPr>
          <w:rFonts w:ascii="Times New Roman" w:hAnsi="Times New Roman" w:cs="Times New Roman"/>
          <w:sz w:val="24"/>
          <w:szCs w:val="24"/>
        </w:rPr>
        <w:t xml:space="preserve"> is a data transmission technique between various computer systems. It is the HIPAA designated standard way of interchanging data for the patients. The Electronic Data Interchange eliminates the requirement to print, store, fire, retrieve, and post paper documents effectively and be termed as a cost-effective technique in the healthcare provider's office</w:t>
      </w:r>
      <w:r w:rsidR="00136797">
        <w:rPr>
          <w:rFonts w:ascii="Times New Roman" w:hAnsi="Times New Roman" w:cs="Times New Roman"/>
          <w:sz w:val="24"/>
          <w:szCs w:val="24"/>
        </w:rPr>
        <w:t xml:space="preserve"> </w:t>
      </w:r>
      <w:bookmarkStart w:id="0" w:name="_Hlk54152530"/>
      <w:r w:rsidR="00136797">
        <w:rPr>
          <w:rFonts w:ascii="Times New Roman" w:hAnsi="Times New Roman" w:cs="Times New Roman"/>
          <w:sz w:val="24"/>
          <w:szCs w:val="24"/>
        </w:rPr>
        <w:t>(</w:t>
      </w:r>
      <w:r w:rsidR="00136797" w:rsidRPr="00136797">
        <w:rPr>
          <w:rFonts w:ascii="Times New Roman" w:hAnsi="Times New Roman" w:cs="Times New Roman"/>
          <w:sz w:val="24"/>
          <w:szCs w:val="24"/>
        </w:rPr>
        <w:t>Akhlaq,</w:t>
      </w:r>
      <w:r w:rsidR="00136797">
        <w:rPr>
          <w:rFonts w:ascii="Times New Roman" w:hAnsi="Times New Roman" w:cs="Times New Roman"/>
          <w:sz w:val="24"/>
          <w:szCs w:val="24"/>
        </w:rPr>
        <w:t xml:space="preserve"> et al 2016)</w:t>
      </w:r>
      <w:bookmarkEnd w:id="0"/>
      <w:r w:rsidRPr="00172693">
        <w:rPr>
          <w:rFonts w:ascii="Times New Roman" w:hAnsi="Times New Roman" w:cs="Times New Roman"/>
          <w:sz w:val="24"/>
          <w:szCs w:val="24"/>
        </w:rPr>
        <w:t xml:space="preserve">. Its future objectives are finally to eliminate paper and manual records, which will consequently have every practitioner perform with similar systems so that all the information belonging to the patient is read and processed with ease. This, in turn, will assist in the provision of efficient, quality, quicker, and better health care to the patients. </w:t>
      </w:r>
    </w:p>
    <w:p w14:paraId="29E3DC32" w14:textId="3BCC09D8" w:rsidR="00414700" w:rsidRDefault="008D103D" w:rsidP="00172693">
      <w:pPr>
        <w:spacing w:line="480" w:lineRule="auto"/>
        <w:ind w:firstLine="720"/>
        <w:rPr>
          <w:rFonts w:ascii="Times New Roman" w:hAnsi="Times New Roman" w:cs="Times New Roman"/>
          <w:sz w:val="24"/>
          <w:szCs w:val="24"/>
        </w:rPr>
      </w:pPr>
      <w:r w:rsidRPr="00172693">
        <w:rPr>
          <w:rFonts w:ascii="Times New Roman" w:hAnsi="Times New Roman" w:cs="Times New Roman"/>
          <w:sz w:val="24"/>
          <w:szCs w:val="24"/>
        </w:rPr>
        <w:t xml:space="preserve">The Electronic Data interchange use facilitates the electronic healthcare transactions by reducing entry and processing of data manually, improving the quality of data, improving the information accuracy, eliminating the contrasting codes and forms, and increasing the cash flow. It also enhances saving on costs such as for labor, postage, and even papers </w:t>
      </w:r>
      <w:r w:rsidR="009618E2" w:rsidRPr="00172693">
        <w:rPr>
          <w:rFonts w:ascii="Times New Roman" w:hAnsi="Times New Roman" w:cs="Times New Roman"/>
          <w:sz w:val="24"/>
          <w:szCs w:val="24"/>
        </w:rPr>
        <w:t>and improves the reliability, usefulness, and accuracy of the information being shared, and improving the patient's services.</w:t>
      </w:r>
    </w:p>
    <w:p w14:paraId="1DA26AA7" w14:textId="0D79327C" w:rsidR="00F3296E" w:rsidRPr="00F3296E" w:rsidRDefault="00F3296E" w:rsidP="00F3296E">
      <w:pPr>
        <w:spacing w:line="480" w:lineRule="auto"/>
        <w:jc w:val="center"/>
        <w:rPr>
          <w:rFonts w:ascii="Times New Roman" w:hAnsi="Times New Roman" w:cs="Times New Roman"/>
          <w:b/>
          <w:sz w:val="24"/>
          <w:szCs w:val="24"/>
        </w:rPr>
      </w:pPr>
      <w:r w:rsidRPr="00F3296E">
        <w:rPr>
          <w:rFonts w:ascii="Times New Roman" w:hAnsi="Times New Roman" w:cs="Times New Roman"/>
          <w:b/>
          <w:sz w:val="24"/>
          <w:szCs w:val="24"/>
        </w:rPr>
        <w:t>How HIPAA has changed healthcare info transmitted in EDI</w:t>
      </w:r>
    </w:p>
    <w:p w14:paraId="258328A8" w14:textId="35623B80" w:rsidR="003373E8" w:rsidRDefault="00414700" w:rsidP="00172693">
      <w:pPr>
        <w:spacing w:line="480" w:lineRule="auto"/>
        <w:ind w:firstLine="720"/>
        <w:rPr>
          <w:rFonts w:ascii="Times New Roman" w:hAnsi="Times New Roman" w:cs="Times New Roman"/>
          <w:sz w:val="24"/>
          <w:szCs w:val="24"/>
        </w:rPr>
      </w:pPr>
      <w:r w:rsidRPr="00172693">
        <w:rPr>
          <w:rFonts w:ascii="Times New Roman" w:hAnsi="Times New Roman" w:cs="Times New Roman"/>
          <w:sz w:val="24"/>
          <w:szCs w:val="24"/>
        </w:rPr>
        <w:t>The Health Insurance Portability and Accountability Act (HIPAA), enacted in 1996</w:t>
      </w:r>
      <w:r w:rsidR="00BF5D81" w:rsidRPr="00172693">
        <w:rPr>
          <w:rFonts w:ascii="Times New Roman" w:hAnsi="Times New Roman" w:cs="Times New Roman"/>
          <w:sz w:val="24"/>
          <w:szCs w:val="24"/>
        </w:rPr>
        <w:t>, has influenced healthcare</w:t>
      </w:r>
      <w:r w:rsidR="008D103D" w:rsidRPr="00172693">
        <w:rPr>
          <w:rFonts w:ascii="Times New Roman" w:hAnsi="Times New Roman" w:cs="Times New Roman"/>
          <w:sz w:val="24"/>
          <w:szCs w:val="24"/>
        </w:rPr>
        <w:t xml:space="preserve"> </w:t>
      </w:r>
      <w:r w:rsidR="00BF5D81" w:rsidRPr="00172693">
        <w:rPr>
          <w:rFonts w:ascii="Times New Roman" w:hAnsi="Times New Roman" w:cs="Times New Roman"/>
          <w:sz w:val="24"/>
          <w:szCs w:val="24"/>
        </w:rPr>
        <w:t>data transmission in the Electronic Data Interchange in various dimensions. A critical characteristic of HIPAA is the electronic healthcare transactions national standards that require to be met. The standards are to enhance healthcare systems' efficiency improvement in the United States.</w:t>
      </w:r>
      <w:r w:rsidRPr="00172693">
        <w:rPr>
          <w:rFonts w:ascii="Times New Roman" w:hAnsi="Times New Roman" w:cs="Times New Roman"/>
          <w:sz w:val="24"/>
          <w:szCs w:val="24"/>
        </w:rPr>
        <w:t xml:space="preserve"> Doing so will assist in the widespread application of the </w:t>
      </w:r>
      <w:r w:rsidRPr="00172693">
        <w:rPr>
          <w:rFonts w:ascii="Times New Roman" w:hAnsi="Times New Roman" w:cs="Times New Roman"/>
          <w:sz w:val="24"/>
          <w:szCs w:val="24"/>
        </w:rPr>
        <w:lastRenderedPageBreak/>
        <w:t>Electronic Data Information system in the United States.</w:t>
      </w:r>
      <w:r w:rsidR="00BF5D81" w:rsidRPr="00172693">
        <w:rPr>
          <w:rFonts w:ascii="Times New Roman" w:hAnsi="Times New Roman" w:cs="Times New Roman"/>
          <w:sz w:val="24"/>
          <w:szCs w:val="24"/>
        </w:rPr>
        <w:t xml:space="preserve"> Standards for EDI and code make HIPAA's transaction standards establish a healthcare clearinghouses special dut</w:t>
      </w:r>
      <w:r w:rsidRPr="00172693">
        <w:rPr>
          <w:rFonts w:ascii="Times New Roman" w:hAnsi="Times New Roman" w:cs="Times New Roman"/>
          <w:sz w:val="24"/>
          <w:szCs w:val="24"/>
        </w:rPr>
        <w:t>ies</w:t>
      </w:r>
      <w:r w:rsidR="00BF5D81" w:rsidRPr="00172693">
        <w:rPr>
          <w:rFonts w:ascii="Times New Roman" w:hAnsi="Times New Roman" w:cs="Times New Roman"/>
          <w:sz w:val="24"/>
          <w:szCs w:val="24"/>
        </w:rPr>
        <w:t xml:space="preserve"> services provision and electronic information translation that is not absent in HIPAA dictated formats</w:t>
      </w:r>
      <w:r w:rsidR="00136797">
        <w:rPr>
          <w:rFonts w:ascii="Times New Roman" w:hAnsi="Times New Roman" w:cs="Times New Roman"/>
          <w:sz w:val="24"/>
          <w:szCs w:val="24"/>
        </w:rPr>
        <w:t xml:space="preserve"> </w:t>
      </w:r>
      <w:r w:rsidR="00136797" w:rsidRPr="00136797">
        <w:rPr>
          <w:rFonts w:ascii="Times New Roman" w:hAnsi="Times New Roman" w:cs="Times New Roman"/>
          <w:sz w:val="24"/>
          <w:szCs w:val="24"/>
        </w:rPr>
        <w:t>(Akhlaq, et al</w:t>
      </w:r>
      <w:r w:rsidR="00BD2781">
        <w:rPr>
          <w:rFonts w:ascii="Times New Roman" w:hAnsi="Times New Roman" w:cs="Times New Roman"/>
          <w:sz w:val="24"/>
          <w:szCs w:val="24"/>
        </w:rPr>
        <w:t>.</w:t>
      </w:r>
      <w:r w:rsidR="00136797" w:rsidRPr="00136797">
        <w:rPr>
          <w:rFonts w:ascii="Times New Roman" w:hAnsi="Times New Roman" w:cs="Times New Roman"/>
          <w:sz w:val="24"/>
          <w:szCs w:val="24"/>
        </w:rPr>
        <w:t xml:space="preserve"> 2016)</w:t>
      </w:r>
      <w:r w:rsidR="00BF5D81" w:rsidRPr="00172693">
        <w:rPr>
          <w:rFonts w:ascii="Times New Roman" w:hAnsi="Times New Roman" w:cs="Times New Roman"/>
          <w:sz w:val="24"/>
          <w:szCs w:val="24"/>
        </w:rPr>
        <w:t xml:space="preserve">. The National Information Services has given customers the transaction serves as a section of the </w:t>
      </w:r>
      <w:r w:rsidR="00464CF2" w:rsidRPr="00172693">
        <w:rPr>
          <w:rFonts w:ascii="Times New Roman" w:hAnsi="Times New Roman" w:cs="Times New Roman"/>
          <w:sz w:val="24"/>
          <w:szCs w:val="24"/>
        </w:rPr>
        <w:t>electronic demands service. Electronic claims transmissions evaluation and stringent testing led to certification entirely that all protocols and transaction claims were compliant with the code set requirements and the transaction claims required by HIPAA. The code sets are approved</w:t>
      </w:r>
      <w:r w:rsidR="00BD2781">
        <w:rPr>
          <w:rFonts w:ascii="Times New Roman" w:hAnsi="Times New Roman" w:cs="Times New Roman"/>
          <w:sz w:val="24"/>
          <w:szCs w:val="24"/>
        </w:rPr>
        <w:t xml:space="preserve"> medical principles by the </w:t>
      </w:r>
      <w:r w:rsidR="00BD2781" w:rsidRPr="00BD2781">
        <w:rPr>
          <w:rFonts w:ascii="Times New Roman" w:hAnsi="Times New Roman" w:cs="Times New Roman"/>
          <w:sz w:val="24"/>
          <w:szCs w:val="24"/>
        </w:rPr>
        <w:t>Health Insurance</w:t>
      </w:r>
      <w:r w:rsidR="00BD2781">
        <w:rPr>
          <w:rFonts w:ascii="Times New Roman" w:hAnsi="Times New Roman" w:cs="Times New Roman"/>
          <w:sz w:val="24"/>
          <w:szCs w:val="24"/>
        </w:rPr>
        <w:t xml:space="preserve"> Portability and Accountability.</w:t>
      </w:r>
    </w:p>
    <w:p w14:paraId="1491656F" w14:textId="6D44764F" w:rsidR="00F3296E" w:rsidRPr="00F3296E" w:rsidRDefault="00F3296E" w:rsidP="00F3296E">
      <w:pPr>
        <w:spacing w:line="480" w:lineRule="auto"/>
        <w:jc w:val="center"/>
        <w:rPr>
          <w:rFonts w:ascii="Times New Roman" w:hAnsi="Times New Roman" w:cs="Times New Roman"/>
          <w:b/>
          <w:sz w:val="24"/>
          <w:szCs w:val="24"/>
        </w:rPr>
      </w:pPr>
      <w:r w:rsidRPr="00F3296E">
        <w:rPr>
          <w:rFonts w:ascii="Times New Roman" w:hAnsi="Times New Roman" w:cs="Times New Roman"/>
          <w:b/>
          <w:sz w:val="24"/>
          <w:szCs w:val="24"/>
        </w:rPr>
        <w:t>Relationship between EHR, reimbursement, HIPAA, and EDI transactions</w:t>
      </w:r>
    </w:p>
    <w:p w14:paraId="33BB7B3D" w14:textId="0C77E1C1" w:rsidR="00464CF2" w:rsidRPr="00172693" w:rsidRDefault="008D103D" w:rsidP="00172693">
      <w:pPr>
        <w:spacing w:line="480" w:lineRule="auto"/>
        <w:ind w:firstLine="720"/>
        <w:rPr>
          <w:rFonts w:ascii="Times New Roman" w:hAnsi="Times New Roman" w:cs="Times New Roman"/>
          <w:sz w:val="24"/>
          <w:szCs w:val="24"/>
        </w:rPr>
      </w:pPr>
      <w:r w:rsidRPr="00172693">
        <w:rPr>
          <w:rFonts w:ascii="Times New Roman" w:hAnsi="Times New Roman" w:cs="Times New Roman"/>
          <w:sz w:val="24"/>
          <w:szCs w:val="24"/>
        </w:rPr>
        <w:t xml:space="preserve">For Electronic Data Interchange, several relationships exist between the EHR, HIPAA, reimbursements, and transactions of the Electronic Data Interchange.  EDI transactions involve the </w:t>
      </w:r>
      <w:r w:rsidR="007F0EB0" w:rsidRPr="00172693">
        <w:rPr>
          <w:rFonts w:ascii="Times New Roman" w:hAnsi="Times New Roman" w:cs="Times New Roman"/>
          <w:sz w:val="24"/>
          <w:szCs w:val="24"/>
        </w:rPr>
        <w:t>claims transactions. Electronic health Records incorporates an electronic version for the chart of the patient</w:t>
      </w:r>
      <w:r w:rsidR="00136797" w:rsidRPr="00136797">
        <w:t xml:space="preserve"> </w:t>
      </w:r>
      <w:bookmarkStart w:id="1" w:name="_Hlk54152475"/>
      <w:r w:rsidR="00136797">
        <w:t>(</w:t>
      </w:r>
      <w:r w:rsidR="00136797" w:rsidRPr="00136797">
        <w:rPr>
          <w:rFonts w:ascii="Times New Roman" w:hAnsi="Times New Roman" w:cs="Times New Roman"/>
          <w:sz w:val="24"/>
          <w:szCs w:val="24"/>
        </w:rPr>
        <w:t>Reza,</w:t>
      </w:r>
      <w:r w:rsidR="00136797">
        <w:rPr>
          <w:rFonts w:ascii="Times New Roman" w:hAnsi="Times New Roman" w:cs="Times New Roman"/>
          <w:sz w:val="24"/>
          <w:szCs w:val="24"/>
        </w:rPr>
        <w:t xml:space="preserve"> et al 2020)</w:t>
      </w:r>
      <w:r w:rsidR="007F0EB0" w:rsidRPr="00172693">
        <w:rPr>
          <w:rFonts w:ascii="Times New Roman" w:hAnsi="Times New Roman" w:cs="Times New Roman"/>
          <w:sz w:val="24"/>
          <w:szCs w:val="24"/>
        </w:rPr>
        <w:t xml:space="preserve">. </w:t>
      </w:r>
      <w:bookmarkEnd w:id="1"/>
      <w:r w:rsidR="007F0EB0" w:rsidRPr="00172693">
        <w:rPr>
          <w:rFonts w:ascii="Times New Roman" w:hAnsi="Times New Roman" w:cs="Times New Roman"/>
          <w:sz w:val="24"/>
          <w:szCs w:val="24"/>
        </w:rPr>
        <w:t>They are responsible for making the information instantly available to authorized users, such as nurses and doctors. On the other hand, reimbursement is a technique for payment for hospital costs or medical treatment usually performed by a third party.</w:t>
      </w:r>
    </w:p>
    <w:p w14:paraId="03E2FD9D" w14:textId="6AFF8548" w:rsidR="007F0EB0" w:rsidRPr="00172693" w:rsidRDefault="008D103D" w:rsidP="00172693">
      <w:pPr>
        <w:spacing w:line="480" w:lineRule="auto"/>
        <w:ind w:firstLine="720"/>
        <w:rPr>
          <w:rFonts w:ascii="Times New Roman" w:hAnsi="Times New Roman" w:cs="Times New Roman"/>
          <w:sz w:val="24"/>
          <w:szCs w:val="24"/>
        </w:rPr>
      </w:pPr>
      <w:r w:rsidRPr="00172693">
        <w:rPr>
          <w:rFonts w:ascii="Times New Roman" w:hAnsi="Times New Roman" w:cs="Times New Roman"/>
          <w:sz w:val="24"/>
          <w:szCs w:val="24"/>
        </w:rPr>
        <w:t>When an individual visits a healthcare practitioner, all the patient's information is available in the database. What appears on the screen of the computer is the Electronic Health of the patient. The information has everything, including why the patient had visited the health practitioner and any taken prescriptions.</w:t>
      </w:r>
      <w:r w:rsidR="00CF7BBE" w:rsidRPr="00172693">
        <w:rPr>
          <w:rFonts w:ascii="Times New Roman" w:hAnsi="Times New Roman" w:cs="Times New Roman"/>
          <w:sz w:val="24"/>
          <w:szCs w:val="24"/>
        </w:rPr>
        <w:t xml:space="preserve"> Additionally, it might also incorporate any radiology reports that the patient might have required in the past. Due to HIPAA, these records and information are secure and safe from getting to the hands of unintended and unauthorized individuals. HIPAA and the Electronic Health Records' relationship is that HIPAA enhances the </w:t>
      </w:r>
      <w:r w:rsidR="00CF7BBE" w:rsidRPr="00172693">
        <w:rPr>
          <w:rFonts w:ascii="Times New Roman" w:hAnsi="Times New Roman" w:cs="Times New Roman"/>
          <w:sz w:val="24"/>
          <w:szCs w:val="24"/>
        </w:rPr>
        <w:lastRenderedPageBreak/>
        <w:t>patient's health records and information security and safety by ensuring it does not land to unsafe and unauthorized individuals.</w:t>
      </w:r>
      <w:r w:rsidR="00172693">
        <w:rPr>
          <w:rFonts w:ascii="Times New Roman" w:hAnsi="Times New Roman" w:cs="Times New Roman"/>
          <w:sz w:val="24"/>
          <w:szCs w:val="24"/>
        </w:rPr>
        <w:t xml:space="preserve"> </w:t>
      </w:r>
      <w:r w:rsidR="00172693" w:rsidRPr="00172693">
        <w:rPr>
          <w:rFonts w:ascii="Times New Roman" w:hAnsi="Times New Roman" w:cs="Times New Roman"/>
          <w:sz w:val="24"/>
          <w:szCs w:val="24"/>
        </w:rPr>
        <w:t>Additionally, due</w:t>
      </w:r>
      <w:r w:rsidR="00CF7BBE" w:rsidRPr="00172693">
        <w:rPr>
          <w:rFonts w:ascii="Times New Roman" w:hAnsi="Times New Roman" w:cs="Times New Roman"/>
          <w:sz w:val="24"/>
          <w:szCs w:val="24"/>
        </w:rPr>
        <w:t xml:space="preserve"> to HIPAA, Electronic Data interchange transactions are possible and efficiently performed</w:t>
      </w:r>
      <w:r w:rsidR="00136797">
        <w:rPr>
          <w:rFonts w:ascii="Times New Roman" w:hAnsi="Times New Roman" w:cs="Times New Roman"/>
          <w:sz w:val="24"/>
          <w:szCs w:val="24"/>
        </w:rPr>
        <w:t xml:space="preserve"> </w:t>
      </w:r>
      <w:r w:rsidR="00136797" w:rsidRPr="00136797">
        <w:rPr>
          <w:rFonts w:ascii="Times New Roman" w:hAnsi="Times New Roman" w:cs="Times New Roman"/>
          <w:sz w:val="24"/>
          <w:szCs w:val="24"/>
        </w:rPr>
        <w:t>(Reza, et al 2020)</w:t>
      </w:r>
      <w:r w:rsidR="00CF7BBE" w:rsidRPr="00172693">
        <w:rPr>
          <w:rFonts w:ascii="Times New Roman" w:hAnsi="Times New Roman" w:cs="Times New Roman"/>
          <w:sz w:val="24"/>
          <w:szCs w:val="24"/>
        </w:rPr>
        <w:t xml:space="preserve">. This implies that HIPAA enhances electronic Data Interchange transactions. Specifically, the Electronic Data Interchange claims transactions. </w:t>
      </w:r>
    </w:p>
    <w:p w14:paraId="5B730232" w14:textId="674C9D2B" w:rsidR="00172693" w:rsidRDefault="008D103D" w:rsidP="00172693">
      <w:pPr>
        <w:spacing w:line="480" w:lineRule="auto"/>
        <w:ind w:firstLine="720"/>
        <w:rPr>
          <w:rFonts w:ascii="Times New Roman" w:hAnsi="Times New Roman" w:cs="Times New Roman"/>
          <w:sz w:val="24"/>
          <w:szCs w:val="24"/>
        </w:rPr>
      </w:pPr>
      <w:r w:rsidRPr="00172693">
        <w:rPr>
          <w:rFonts w:ascii="Times New Roman" w:hAnsi="Times New Roman" w:cs="Times New Roman"/>
          <w:sz w:val="24"/>
          <w:szCs w:val="24"/>
        </w:rPr>
        <w:t>Assume a patient receives a mail from the insurance provider containing a list of items required to pay for or what has been paid for by the insurance. While the patient goes through the bill, he comes across an item or several that were supposed to be catered for by the insurance. In this case, the Electronic Data Interchange claim transactions chips in. conversely, the patient will contact the insurance provider and have them file an electronic claim submission. Due to the filling of the patient's claim in this manner, if the insurance provider concurs that they indeed opted to have catered for the service, then the patient is reimbursed for the service</w:t>
      </w:r>
      <w:r w:rsidR="00136797">
        <w:rPr>
          <w:rFonts w:ascii="Times New Roman" w:hAnsi="Times New Roman" w:cs="Times New Roman"/>
          <w:sz w:val="24"/>
          <w:szCs w:val="24"/>
        </w:rPr>
        <w:t xml:space="preserve"> (</w:t>
      </w:r>
      <w:r w:rsidR="00136797" w:rsidRPr="00136797">
        <w:rPr>
          <w:rFonts w:ascii="Times New Roman" w:hAnsi="Times New Roman" w:cs="Times New Roman"/>
          <w:sz w:val="24"/>
          <w:szCs w:val="24"/>
        </w:rPr>
        <w:t>Yoon,</w:t>
      </w:r>
      <w:r w:rsidR="00136797">
        <w:rPr>
          <w:rFonts w:ascii="Times New Roman" w:hAnsi="Times New Roman" w:cs="Times New Roman"/>
          <w:sz w:val="24"/>
          <w:szCs w:val="24"/>
        </w:rPr>
        <w:t xml:space="preserve"> et al 2020)</w:t>
      </w:r>
      <w:r w:rsidRPr="00172693">
        <w:rPr>
          <w:rFonts w:ascii="Times New Roman" w:hAnsi="Times New Roman" w:cs="Times New Roman"/>
          <w:sz w:val="24"/>
          <w:szCs w:val="24"/>
        </w:rPr>
        <w:t>.</w:t>
      </w:r>
    </w:p>
    <w:p w14:paraId="2E5DD2F6" w14:textId="77777777" w:rsidR="00172693" w:rsidRDefault="00172693" w:rsidP="00172693">
      <w:pPr>
        <w:spacing w:line="480" w:lineRule="auto"/>
        <w:ind w:firstLine="720"/>
        <w:rPr>
          <w:rFonts w:ascii="Times New Roman" w:hAnsi="Times New Roman" w:cs="Times New Roman"/>
          <w:sz w:val="24"/>
          <w:szCs w:val="24"/>
        </w:rPr>
      </w:pPr>
    </w:p>
    <w:p w14:paraId="365B676D" w14:textId="77777777" w:rsidR="00172693" w:rsidRDefault="00172693" w:rsidP="00172693">
      <w:pPr>
        <w:spacing w:line="480" w:lineRule="auto"/>
        <w:ind w:firstLine="720"/>
        <w:rPr>
          <w:rFonts w:ascii="Times New Roman" w:hAnsi="Times New Roman" w:cs="Times New Roman"/>
          <w:sz w:val="24"/>
          <w:szCs w:val="24"/>
        </w:rPr>
      </w:pPr>
    </w:p>
    <w:p w14:paraId="4CC27DE0" w14:textId="77777777" w:rsidR="00172693" w:rsidRDefault="00172693" w:rsidP="00172693">
      <w:pPr>
        <w:spacing w:line="480" w:lineRule="auto"/>
        <w:ind w:firstLine="720"/>
        <w:rPr>
          <w:rFonts w:ascii="Times New Roman" w:hAnsi="Times New Roman" w:cs="Times New Roman"/>
          <w:sz w:val="24"/>
          <w:szCs w:val="24"/>
        </w:rPr>
      </w:pPr>
    </w:p>
    <w:p w14:paraId="7C97963C" w14:textId="77777777" w:rsidR="00172693" w:rsidRDefault="00172693" w:rsidP="00172693">
      <w:pPr>
        <w:spacing w:line="480" w:lineRule="auto"/>
        <w:ind w:firstLine="720"/>
        <w:rPr>
          <w:rFonts w:ascii="Times New Roman" w:hAnsi="Times New Roman" w:cs="Times New Roman"/>
          <w:sz w:val="24"/>
          <w:szCs w:val="24"/>
        </w:rPr>
      </w:pPr>
    </w:p>
    <w:p w14:paraId="5D4A14B1" w14:textId="77777777" w:rsidR="00172693" w:rsidRDefault="00172693" w:rsidP="00172693">
      <w:pPr>
        <w:spacing w:line="480" w:lineRule="auto"/>
        <w:ind w:firstLine="720"/>
        <w:rPr>
          <w:rFonts w:ascii="Times New Roman" w:hAnsi="Times New Roman" w:cs="Times New Roman"/>
          <w:sz w:val="24"/>
          <w:szCs w:val="24"/>
        </w:rPr>
      </w:pPr>
    </w:p>
    <w:p w14:paraId="304AFFB0" w14:textId="77777777" w:rsidR="00172693" w:rsidRDefault="00172693" w:rsidP="00172693">
      <w:pPr>
        <w:spacing w:line="480" w:lineRule="auto"/>
        <w:ind w:firstLine="720"/>
        <w:rPr>
          <w:rFonts w:ascii="Times New Roman" w:hAnsi="Times New Roman" w:cs="Times New Roman"/>
          <w:sz w:val="24"/>
          <w:szCs w:val="24"/>
        </w:rPr>
      </w:pPr>
    </w:p>
    <w:p w14:paraId="5087C3B2" w14:textId="77777777" w:rsidR="00172693" w:rsidRDefault="00172693" w:rsidP="00172693">
      <w:pPr>
        <w:spacing w:line="480" w:lineRule="auto"/>
        <w:ind w:firstLine="720"/>
        <w:rPr>
          <w:rFonts w:ascii="Times New Roman" w:hAnsi="Times New Roman" w:cs="Times New Roman"/>
          <w:sz w:val="24"/>
          <w:szCs w:val="24"/>
        </w:rPr>
      </w:pPr>
    </w:p>
    <w:p w14:paraId="50BD6C18" w14:textId="67485F91" w:rsidR="00172693" w:rsidRDefault="00172693" w:rsidP="00B66DED">
      <w:pPr>
        <w:spacing w:line="480" w:lineRule="auto"/>
        <w:rPr>
          <w:rFonts w:ascii="Times New Roman" w:hAnsi="Times New Roman" w:cs="Times New Roman"/>
          <w:sz w:val="24"/>
          <w:szCs w:val="24"/>
        </w:rPr>
      </w:pPr>
      <w:bookmarkStart w:id="2" w:name="_GoBack"/>
      <w:bookmarkEnd w:id="2"/>
    </w:p>
    <w:p w14:paraId="4791E081" w14:textId="32EA210B" w:rsidR="00172693" w:rsidRDefault="00172693" w:rsidP="00BD2781">
      <w:pPr>
        <w:spacing w:line="480" w:lineRule="auto"/>
        <w:rPr>
          <w:rFonts w:ascii="Times New Roman" w:hAnsi="Times New Roman" w:cs="Times New Roman"/>
          <w:sz w:val="24"/>
          <w:szCs w:val="24"/>
        </w:rPr>
      </w:pPr>
    </w:p>
    <w:p w14:paraId="362828D5" w14:textId="0A8CBE04" w:rsidR="00C979C0" w:rsidRPr="00BD2781" w:rsidRDefault="00172693" w:rsidP="00172693">
      <w:pPr>
        <w:spacing w:line="480" w:lineRule="auto"/>
        <w:ind w:firstLine="720"/>
        <w:jc w:val="center"/>
        <w:rPr>
          <w:rFonts w:ascii="Times New Roman" w:hAnsi="Times New Roman" w:cs="Times New Roman"/>
          <w:b/>
          <w:sz w:val="24"/>
          <w:szCs w:val="24"/>
        </w:rPr>
      </w:pPr>
      <w:r w:rsidRPr="00BD2781">
        <w:rPr>
          <w:rFonts w:ascii="Times New Roman" w:hAnsi="Times New Roman" w:cs="Times New Roman"/>
          <w:b/>
          <w:sz w:val="24"/>
          <w:szCs w:val="24"/>
        </w:rPr>
        <w:t>REFERENCES</w:t>
      </w:r>
    </w:p>
    <w:p w14:paraId="7A5D8606" w14:textId="77777777" w:rsidR="00136797" w:rsidRPr="00172693" w:rsidRDefault="00136797" w:rsidP="00136797">
      <w:pPr>
        <w:spacing w:line="480" w:lineRule="auto"/>
        <w:ind w:left="720" w:hanging="720"/>
        <w:rPr>
          <w:rFonts w:ascii="Times New Roman" w:hAnsi="Times New Roman" w:cs="Times New Roman"/>
          <w:sz w:val="24"/>
          <w:szCs w:val="24"/>
        </w:rPr>
      </w:pPr>
      <w:bookmarkStart w:id="3" w:name="_Hlk54152193"/>
      <w:r w:rsidRPr="00136797">
        <w:rPr>
          <w:rFonts w:ascii="Times New Roman" w:hAnsi="Times New Roman" w:cs="Times New Roman"/>
          <w:sz w:val="24"/>
          <w:szCs w:val="24"/>
        </w:rPr>
        <w:t>Akhlaq,</w:t>
      </w:r>
      <w:bookmarkEnd w:id="3"/>
      <w:r w:rsidRPr="00136797">
        <w:rPr>
          <w:rFonts w:ascii="Times New Roman" w:hAnsi="Times New Roman" w:cs="Times New Roman"/>
          <w:sz w:val="24"/>
          <w:szCs w:val="24"/>
        </w:rPr>
        <w:t xml:space="preserve"> A., Sheikh, A., &amp; </w:t>
      </w:r>
      <w:proofErr w:type="spellStart"/>
      <w:r w:rsidRPr="00136797">
        <w:rPr>
          <w:rFonts w:ascii="Times New Roman" w:hAnsi="Times New Roman" w:cs="Times New Roman"/>
          <w:sz w:val="24"/>
          <w:szCs w:val="24"/>
        </w:rPr>
        <w:t>Pagliari</w:t>
      </w:r>
      <w:proofErr w:type="spellEnd"/>
      <w:r w:rsidRPr="00136797">
        <w:rPr>
          <w:rFonts w:ascii="Times New Roman" w:hAnsi="Times New Roman" w:cs="Times New Roman"/>
          <w:sz w:val="24"/>
          <w:szCs w:val="24"/>
        </w:rPr>
        <w:t>, C. (2016). Defining health information exchange: scoping review of published definitions. BMJ Health &amp; Care Informatics, 23(4).</w:t>
      </w:r>
    </w:p>
    <w:p w14:paraId="70EB9E1F" w14:textId="77777777" w:rsidR="00136797" w:rsidRDefault="00136797" w:rsidP="00136797">
      <w:pPr>
        <w:spacing w:line="480" w:lineRule="auto"/>
        <w:ind w:left="720" w:hanging="720"/>
        <w:rPr>
          <w:rFonts w:ascii="Times New Roman" w:hAnsi="Times New Roman" w:cs="Times New Roman"/>
          <w:sz w:val="24"/>
          <w:szCs w:val="24"/>
        </w:rPr>
      </w:pPr>
      <w:r w:rsidRPr="00136797">
        <w:rPr>
          <w:rFonts w:ascii="Times New Roman" w:hAnsi="Times New Roman" w:cs="Times New Roman"/>
          <w:sz w:val="24"/>
          <w:szCs w:val="24"/>
        </w:rPr>
        <w:t>Reza, F., &amp; Prieto, J. T. (2020). and Stephen P. Julien. Public Health Informatics and Information Systems, 183.</w:t>
      </w:r>
    </w:p>
    <w:p w14:paraId="1A1DF48A" w14:textId="77777777" w:rsidR="00136797" w:rsidRDefault="00136797" w:rsidP="00136797">
      <w:pPr>
        <w:spacing w:line="480" w:lineRule="auto"/>
        <w:ind w:left="720" w:hanging="720"/>
        <w:rPr>
          <w:rFonts w:ascii="Times New Roman" w:hAnsi="Times New Roman" w:cs="Times New Roman"/>
          <w:sz w:val="24"/>
          <w:szCs w:val="24"/>
        </w:rPr>
      </w:pPr>
      <w:bookmarkStart w:id="4" w:name="_Hlk54152307"/>
      <w:r w:rsidRPr="00136797">
        <w:rPr>
          <w:rFonts w:ascii="Times New Roman" w:hAnsi="Times New Roman" w:cs="Times New Roman"/>
          <w:sz w:val="24"/>
          <w:szCs w:val="24"/>
        </w:rPr>
        <w:t>Reza,</w:t>
      </w:r>
      <w:bookmarkEnd w:id="4"/>
      <w:r w:rsidRPr="00136797">
        <w:rPr>
          <w:rFonts w:ascii="Times New Roman" w:hAnsi="Times New Roman" w:cs="Times New Roman"/>
          <w:sz w:val="24"/>
          <w:szCs w:val="24"/>
        </w:rPr>
        <w:t xml:space="preserve"> F., Prieto, J. T., &amp; Julien, S. P. (2020). Electronic Health Records: Origination, Adoption, and Progression. In Public Health Informatics and Information Systems (pp. 183-201). Springer, Cham.</w:t>
      </w:r>
    </w:p>
    <w:p w14:paraId="0A3B0D8E" w14:textId="77777777" w:rsidR="00136797" w:rsidRDefault="00136797" w:rsidP="00136797">
      <w:pPr>
        <w:spacing w:line="480" w:lineRule="auto"/>
        <w:ind w:left="720" w:hanging="720"/>
        <w:rPr>
          <w:rFonts w:ascii="Times New Roman" w:hAnsi="Times New Roman" w:cs="Times New Roman"/>
          <w:sz w:val="24"/>
          <w:szCs w:val="24"/>
        </w:rPr>
      </w:pPr>
      <w:bookmarkStart w:id="5" w:name="_Hlk54152384"/>
      <w:r w:rsidRPr="00136797">
        <w:rPr>
          <w:rFonts w:ascii="Times New Roman" w:hAnsi="Times New Roman" w:cs="Times New Roman"/>
          <w:sz w:val="24"/>
          <w:szCs w:val="24"/>
        </w:rPr>
        <w:t>Yoon,</w:t>
      </w:r>
      <w:bookmarkEnd w:id="5"/>
      <w:r w:rsidRPr="00136797">
        <w:rPr>
          <w:rFonts w:ascii="Times New Roman" w:hAnsi="Times New Roman" w:cs="Times New Roman"/>
          <w:sz w:val="24"/>
          <w:szCs w:val="24"/>
        </w:rPr>
        <w:t xml:space="preserve"> P., Pollock, D., &amp; </w:t>
      </w:r>
      <w:proofErr w:type="spellStart"/>
      <w:r w:rsidRPr="00136797">
        <w:rPr>
          <w:rFonts w:ascii="Times New Roman" w:hAnsi="Times New Roman" w:cs="Times New Roman"/>
          <w:sz w:val="24"/>
          <w:szCs w:val="24"/>
        </w:rPr>
        <w:t>Foldy</w:t>
      </w:r>
      <w:proofErr w:type="spellEnd"/>
      <w:r w:rsidRPr="00136797">
        <w:rPr>
          <w:rFonts w:ascii="Times New Roman" w:hAnsi="Times New Roman" w:cs="Times New Roman"/>
          <w:sz w:val="24"/>
          <w:szCs w:val="24"/>
        </w:rPr>
        <w:t>, S. (2020). National Public Health Informatics, United States. In Public Health Informatics and Information Systems (pp. 439-458). Springer, Cham.</w:t>
      </w:r>
    </w:p>
    <w:sectPr w:rsidR="00136797" w:rsidSect="0017269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A512FA" w14:textId="77777777" w:rsidR="00507234" w:rsidRDefault="00507234" w:rsidP="00172693">
      <w:pPr>
        <w:spacing w:after="0" w:line="240" w:lineRule="auto"/>
      </w:pPr>
      <w:r>
        <w:separator/>
      </w:r>
    </w:p>
  </w:endnote>
  <w:endnote w:type="continuationSeparator" w:id="0">
    <w:p w14:paraId="02703BF2" w14:textId="77777777" w:rsidR="00507234" w:rsidRDefault="00507234" w:rsidP="001726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B7ADBD" w14:textId="77777777" w:rsidR="00507234" w:rsidRDefault="00507234" w:rsidP="00172693">
      <w:pPr>
        <w:spacing w:after="0" w:line="240" w:lineRule="auto"/>
      </w:pPr>
      <w:r>
        <w:separator/>
      </w:r>
    </w:p>
  </w:footnote>
  <w:footnote w:type="continuationSeparator" w:id="0">
    <w:p w14:paraId="3AC6FCA0" w14:textId="77777777" w:rsidR="00507234" w:rsidRDefault="00507234" w:rsidP="001726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2681607"/>
      <w:docPartObj>
        <w:docPartGallery w:val="Page Numbers (Top of Page)"/>
        <w:docPartUnique/>
      </w:docPartObj>
    </w:sdtPr>
    <w:sdtEndPr>
      <w:rPr>
        <w:noProof/>
      </w:rPr>
    </w:sdtEndPr>
    <w:sdtContent>
      <w:p w14:paraId="49EC728D" w14:textId="16DDC073" w:rsidR="00172693" w:rsidRDefault="00172693">
        <w:pPr>
          <w:pStyle w:val="Header"/>
          <w:jc w:val="right"/>
        </w:pPr>
        <w:r>
          <w:fldChar w:fldCharType="begin"/>
        </w:r>
        <w:r>
          <w:instrText xml:space="preserve"> PAGE   \* MERGEFORMAT </w:instrText>
        </w:r>
        <w:r>
          <w:fldChar w:fldCharType="separate"/>
        </w:r>
        <w:r w:rsidR="00B66DED">
          <w:rPr>
            <w:noProof/>
          </w:rPr>
          <w:t>5</w:t>
        </w:r>
        <w:r>
          <w:rPr>
            <w:noProof/>
          </w:rPr>
          <w:fldChar w:fldCharType="end"/>
        </w:r>
      </w:p>
    </w:sdtContent>
  </w:sdt>
  <w:p w14:paraId="6ABBDE14" w14:textId="7AA2603F" w:rsidR="00172693" w:rsidRPr="003022F7" w:rsidRDefault="00172693">
    <w:pPr>
      <w:pStyle w:val="Header"/>
      <w:rPr>
        <w:rFonts w:ascii="Times New Roman" w:hAnsi="Times New Roman" w:cs="Times New Roman"/>
        <w:sz w:val="24"/>
        <w:szCs w:val="24"/>
      </w:rPr>
    </w:pPr>
    <w:r w:rsidRPr="003022F7">
      <w:rPr>
        <w:rFonts w:ascii="Times New Roman" w:hAnsi="Times New Roman" w:cs="Times New Roman"/>
        <w:sz w:val="24"/>
        <w:szCs w:val="24"/>
      </w:rPr>
      <w:t>EDI REFERENCE GUIDE.</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511897"/>
      <w:docPartObj>
        <w:docPartGallery w:val="Page Numbers (Top of Page)"/>
        <w:docPartUnique/>
      </w:docPartObj>
    </w:sdtPr>
    <w:sdtEndPr>
      <w:rPr>
        <w:noProof/>
      </w:rPr>
    </w:sdtEndPr>
    <w:sdtContent>
      <w:p w14:paraId="0016E63A" w14:textId="66A621DE" w:rsidR="00172693" w:rsidRDefault="00172693">
        <w:pPr>
          <w:pStyle w:val="Header"/>
          <w:jc w:val="right"/>
        </w:pPr>
        <w:r>
          <w:fldChar w:fldCharType="begin"/>
        </w:r>
        <w:r>
          <w:instrText xml:space="preserve"> PAGE   \* MERGEFORMAT </w:instrText>
        </w:r>
        <w:r>
          <w:fldChar w:fldCharType="separate"/>
        </w:r>
        <w:r w:rsidR="00F3296E">
          <w:rPr>
            <w:noProof/>
          </w:rPr>
          <w:t>1</w:t>
        </w:r>
        <w:r>
          <w:rPr>
            <w:noProof/>
          </w:rPr>
          <w:fldChar w:fldCharType="end"/>
        </w:r>
      </w:p>
    </w:sdtContent>
  </w:sdt>
  <w:p w14:paraId="46CB6D26" w14:textId="209CBC07" w:rsidR="00172693" w:rsidRPr="003022F7" w:rsidRDefault="00172693">
    <w:pPr>
      <w:pStyle w:val="Header"/>
      <w:rPr>
        <w:rFonts w:ascii="Times New Roman" w:hAnsi="Times New Roman" w:cs="Times New Roman"/>
        <w:sz w:val="24"/>
        <w:szCs w:val="24"/>
      </w:rPr>
    </w:pPr>
    <w:r w:rsidRPr="003022F7">
      <w:rPr>
        <w:rFonts w:ascii="Times New Roman" w:hAnsi="Times New Roman" w:cs="Times New Roman"/>
        <w:sz w:val="24"/>
        <w:szCs w:val="24"/>
      </w:rPr>
      <w:t>Running Head: EDI REFERENCE GUIDE.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73E8"/>
    <w:rsid w:val="00136797"/>
    <w:rsid w:val="00172693"/>
    <w:rsid w:val="00284A4E"/>
    <w:rsid w:val="002F6F43"/>
    <w:rsid w:val="003022F7"/>
    <w:rsid w:val="003373E8"/>
    <w:rsid w:val="00414700"/>
    <w:rsid w:val="00464CF2"/>
    <w:rsid w:val="00507234"/>
    <w:rsid w:val="00683881"/>
    <w:rsid w:val="006D2651"/>
    <w:rsid w:val="006F7A38"/>
    <w:rsid w:val="007F0EB0"/>
    <w:rsid w:val="008D103D"/>
    <w:rsid w:val="009618E2"/>
    <w:rsid w:val="00B66DED"/>
    <w:rsid w:val="00BD2781"/>
    <w:rsid w:val="00BF5D81"/>
    <w:rsid w:val="00C979C0"/>
    <w:rsid w:val="00CF7BBE"/>
    <w:rsid w:val="00F329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483F8"/>
  <w15:chartTrackingRefBased/>
  <w15:docId w15:val="{C9FAF209-34AB-4F89-B81B-1FBF62C8A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26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2693"/>
  </w:style>
  <w:style w:type="paragraph" w:styleId="Footer">
    <w:name w:val="footer"/>
    <w:basedOn w:val="Normal"/>
    <w:link w:val="FooterChar"/>
    <w:uiPriority w:val="99"/>
    <w:unhideWhenUsed/>
    <w:rsid w:val="001726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26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5</Pages>
  <Words>852</Words>
  <Characters>4859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6</cp:revision>
  <dcterms:created xsi:type="dcterms:W3CDTF">2020-10-21T03:03:00Z</dcterms:created>
  <dcterms:modified xsi:type="dcterms:W3CDTF">2020-10-21T03:22:00Z</dcterms:modified>
</cp:coreProperties>
</file>